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9A3D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7FD10C78" w14:textId="1F4BF3D8"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286403">
        <w:rPr>
          <w:rFonts w:asciiTheme="minorHAnsi" w:hAnsiTheme="minorHAnsi"/>
          <w:b/>
          <w:color w:val="000000"/>
          <w:szCs w:val="24"/>
        </w:rPr>
        <w:t>5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461623">
        <w:rPr>
          <w:rFonts w:asciiTheme="minorHAnsi" w:hAnsiTheme="minorHAnsi"/>
          <w:b/>
          <w:color w:val="000000"/>
          <w:szCs w:val="24"/>
        </w:rPr>
        <w:t>9</w:t>
      </w:r>
    </w:p>
    <w:p w14:paraId="11D8509B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32990B46" w14:textId="77777777" w:rsidR="00D50FB9" w:rsidRPr="00592E11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3452426A" w14:textId="7A339341" w:rsidR="00E31CC3" w:rsidRPr="00D50FB9" w:rsidRDefault="009F6B27" w:rsidP="00061851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286403">
        <w:rPr>
          <w:rFonts w:asciiTheme="minorHAnsi" w:hAnsiTheme="minorHAnsi"/>
          <w:sz w:val="24"/>
          <w:szCs w:val="24"/>
        </w:rPr>
        <w:t>doze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BF7934">
        <w:rPr>
          <w:rFonts w:asciiTheme="minorHAnsi" w:hAnsiTheme="minorHAnsi"/>
          <w:sz w:val="24"/>
          <w:szCs w:val="24"/>
        </w:rPr>
        <w:t>ju</w:t>
      </w:r>
      <w:r w:rsidR="00286403">
        <w:rPr>
          <w:rFonts w:asciiTheme="minorHAnsi" w:hAnsiTheme="minorHAnsi"/>
          <w:sz w:val="24"/>
          <w:szCs w:val="24"/>
        </w:rPr>
        <w:t>l</w:t>
      </w:r>
      <w:r w:rsidR="00BF7934">
        <w:rPr>
          <w:rFonts w:asciiTheme="minorHAnsi" w:hAnsiTheme="minorHAnsi"/>
          <w:sz w:val="24"/>
          <w:szCs w:val="24"/>
        </w:rPr>
        <w:t>ho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</w:t>
      </w:r>
      <w:r w:rsidR="00461623">
        <w:rPr>
          <w:rFonts w:asciiTheme="minorHAnsi" w:hAnsiTheme="minorHAnsi"/>
          <w:sz w:val="24"/>
          <w:szCs w:val="24"/>
        </w:rPr>
        <w:t>enove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F7934">
        <w:rPr>
          <w:rFonts w:asciiTheme="minorHAnsi" w:hAnsiTheme="minorHAnsi"/>
          <w:sz w:val="24"/>
          <w:szCs w:val="24"/>
        </w:rPr>
        <w:t>qu</w:t>
      </w:r>
      <w:r w:rsidR="00286403">
        <w:rPr>
          <w:rFonts w:asciiTheme="minorHAnsi" w:hAnsiTheme="minorHAnsi"/>
          <w:sz w:val="24"/>
          <w:szCs w:val="24"/>
        </w:rPr>
        <w:t>inze</w:t>
      </w:r>
      <w:r w:rsidR="00E8716C">
        <w:rPr>
          <w:rFonts w:asciiTheme="minorHAnsi" w:hAnsiTheme="minorHAnsi"/>
          <w:sz w:val="24"/>
          <w:szCs w:val="24"/>
        </w:rPr>
        <w:t xml:space="preserve"> horas e </w:t>
      </w:r>
      <w:r w:rsidR="00286403">
        <w:rPr>
          <w:rFonts w:asciiTheme="minorHAnsi" w:hAnsiTheme="minorHAnsi"/>
          <w:sz w:val="24"/>
          <w:szCs w:val="24"/>
        </w:rPr>
        <w:t>quinze</w:t>
      </w:r>
      <w:r w:rsidR="00E8716C">
        <w:rPr>
          <w:rFonts w:asciiTheme="minorHAnsi" w:hAnsiTheme="minorHAnsi"/>
          <w:sz w:val="24"/>
          <w:szCs w:val="24"/>
        </w:rPr>
        <w:t xml:space="preserve"> minutos</w:t>
      </w:r>
      <w:r w:rsidR="00E1195A">
        <w:rPr>
          <w:rFonts w:asciiTheme="minorHAnsi" w:hAnsiTheme="minorHAnsi"/>
          <w:sz w:val="24"/>
          <w:szCs w:val="24"/>
        </w:rPr>
        <w:t xml:space="preserve">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Débora </w:t>
      </w:r>
      <w:proofErr w:type="spellStart"/>
      <w:r w:rsidR="00E8716C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E8716C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E8716C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8F6A03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8F6A03">
        <w:rPr>
          <w:rFonts w:asciiTheme="minorHAnsi" w:hAnsiTheme="minorHAnsi" w:cstheme="minorHAnsi"/>
          <w:sz w:val="24"/>
          <w:szCs w:val="24"/>
        </w:rPr>
        <w:t xml:space="preserve">, representando o Executivo,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Lizandra Beatriz dos Santos,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sz w:val="24"/>
          <w:szCs w:val="24"/>
        </w:rPr>
        <w:t xml:space="preserve">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Roberta Pizzio Carneiro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8F6A0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8F6A03">
        <w:rPr>
          <w:rFonts w:asciiTheme="minorHAnsi" w:hAnsiTheme="minorHAnsi" w:cstheme="minorHAnsi"/>
          <w:sz w:val="24"/>
          <w:szCs w:val="24"/>
        </w:rPr>
        <w:t xml:space="preserve">  representando os Professores Municipais, </w:t>
      </w:r>
      <w:proofErr w:type="spellStart"/>
      <w:r w:rsidR="00BF7934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BF7934">
        <w:rPr>
          <w:rFonts w:asciiTheme="minorHAnsi" w:hAnsiTheme="minorHAnsi" w:cstheme="minorHAnsi"/>
          <w:sz w:val="24"/>
          <w:szCs w:val="24"/>
        </w:rPr>
        <w:t>s</w:t>
      </w:r>
      <w:r w:rsidR="00BF7934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8F6A03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8F6A03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6403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28640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86403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286403" w:rsidRPr="002B0710">
        <w:rPr>
          <w:rFonts w:asciiTheme="minorHAnsi" w:hAnsiTheme="minorHAnsi" w:cstheme="minorHAnsi"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286403">
        <w:rPr>
          <w:rFonts w:asciiTheme="minorHAnsi" w:hAnsiTheme="minorHAnsi" w:cstheme="minorHAnsi"/>
          <w:b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461623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46162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461623">
        <w:rPr>
          <w:rFonts w:asciiTheme="minorHAnsi" w:hAnsiTheme="minorHAnsi" w:cstheme="minorHAnsi"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abriu os trabalhos informando </w:t>
      </w:r>
      <w:r w:rsidR="00286403">
        <w:rPr>
          <w:rFonts w:asciiTheme="minorHAnsi" w:hAnsiTheme="minorHAnsi" w:cstheme="minorHAnsi"/>
          <w:bCs/>
          <w:sz w:val="24"/>
          <w:szCs w:val="24"/>
        </w:rPr>
        <w:t>que o quórum é deliberativo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sz w:val="24"/>
          <w:szCs w:val="24"/>
        </w:rPr>
        <w:t>agradecendo a presença de todos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8F6A03">
        <w:rPr>
          <w:rFonts w:asciiTheme="minorHAnsi" w:hAnsiTheme="minorHAnsi" w:cstheme="minorHAnsi"/>
          <w:sz w:val="24"/>
          <w:szCs w:val="24"/>
        </w:rPr>
        <w:t>após a Presidente colocou</w:t>
      </w:r>
      <w:r w:rsidR="00DC41F7">
        <w:rPr>
          <w:rFonts w:asciiTheme="minorHAnsi" w:hAnsiTheme="minorHAnsi" w:cstheme="minorHAnsi"/>
          <w:sz w:val="24"/>
          <w:szCs w:val="24"/>
        </w:rPr>
        <w:t xml:space="preserve"> em discussão a ata do mês de </w:t>
      </w:r>
      <w:r w:rsidR="00286403">
        <w:rPr>
          <w:rFonts w:asciiTheme="minorHAnsi" w:hAnsiTheme="minorHAnsi" w:cstheme="minorHAnsi"/>
          <w:sz w:val="24"/>
          <w:szCs w:val="24"/>
        </w:rPr>
        <w:t>junho</w:t>
      </w:r>
      <w:r w:rsidR="00E8716C">
        <w:rPr>
          <w:rFonts w:asciiTheme="minorHAnsi" w:hAnsiTheme="minorHAnsi" w:cstheme="minorHAnsi"/>
          <w:sz w:val="24"/>
          <w:szCs w:val="24"/>
        </w:rPr>
        <w:t xml:space="preserve"> de 2019</w:t>
      </w:r>
      <w:r w:rsidR="00DC41F7">
        <w:rPr>
          <w:rFonts w:asciiTheme="minorHAnsi" w:hAnsiTheme="minorHAnsi" w:cstheme="minorHAnsi"/>
          <w:sz w:val="24"/>
          <w:szCs w:val="24"/>
        </w:rPr>
        <w:t xml:space="preserve">, sem o que discutir colocou em aprovação, aprovada por unanimidade. </w:t>
      </w:r>
      <w:r w:rsidR="00D50FB9">
        <w:rPr>
          <w:rFonts w:asciiTheme="minorHAnsi" w:hAnsiTheme="minorHAnsi" w:cstheme="minorHAnsi"/>
          <w:sz w:val="24"/>
          <w:szCs w:val="24"/>
        </w:rPr>
        <w:t>Do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 xml:space="preserve">que trata </w:t>
      </w:r>
      <w:r w:rsidR="008F6A03">
        <w:rPr>
          <w:rFonts w:asciiTheme="minorHAnsi" w:hAnsiTheme="minorHAnsi" w:cstheme="minorHAnsi"/>
          <w:sz w:val="24"/>
          <w:szCs w:val="24"/>
        </w:rPr>
        <w:t xml:space="preserve">da Escola Balão Mágico a Presidente </w:t>
      </w:r>
      <w:r w:rsidR="00286403">
        <w:rPr>
          <w:rFonts w:asciiTheme="minorHAnsi" w:hAnsiTheme="minorHAnsi" w:cstheme="minorHAnsi"/>
          <w:sz w:val="24"/>
          <w:szCs w:val="24"/>
        </w:rPr>
        <w:t>solicitou deixar como último item, o que foi aprovado por todos</w:t>
      </w:r>
      <w:r w:rsidR="008F6A03">
        <w:rPr>
          <w:rFonts w:asciiTheme="minorHAnsi" w:hAnsiTheme="minorHAnsi" w:cstheme="minorHAnsi"/>
          <w:sz w:val="24"/>
          <w:szCs w:val="24"/>
        </w:rPr>
        <w:t>.</w:t>
      </w:r>
      <w:r w:rsidR="00B66CA2">
        <w:rPr>
          <w:rFonts w:asciiTheme="minorHAnsi" w:hAnsiTheme="minorHAnsi" w:cstheme="minorHAnsi"/>
          <w:sz w:val="24"/>
          <w:szCs w:val="24"/>
        </w:rPr>
        <w:t xml:space="preserve"> </w:t>
      </w:r>
      <w:r w:rsidR="00867B76">
        <w:rPr>
          <w:rFonts w:asciiTheme="minorHAnsi" w:hAnsiTheme="minorHAnsi" w:cstheme="minorHAnsi"/>
          <w:sz w:val="24"/>
          <w:szCs w:val="24"/>
        </w:rPr>
        <w:t xml:space="preserve"> Do item de pauta que trata da </w:t>
      </w:r>
      <w:r w:rsidR="00B66CA2">
        <w:rPr>
          <w:rFonts w:asciiTheme="minorHAnsi" w:hAnsiTheme="minorHAnsi" w:cstheme="minorHAnsi"/>
          <w:sz w:val="24"/>
          <w:szCs w:val="24"/>
        </w:rPr>
        <w:t xml:space="preserve">participação na reunião </w:t>
      </w:r>
      <w:r w:rsidR="00286403">
        <w:rPr>
          <w:rFonts w:asciiTheme="minorHAnsi" w:hAnsiTheme="minorHAnsi" w:cstheme="minorHAnsi"/>
          <w:sz w:val="24"/>
          <w:szCs w:val="24"/>
        </w:rPr>
        <w:t xml:space="preserve">do Fórum Municipal de Educação a Presidente relatou que foi bem acolhido, porém com a falta de algumas escolas, relatou ainda a definição do calendário para o ano em que foram divididas a metas para serem discutidas declarou que foi definido o mês de  outubro para realização da conferencia. Do item de pauta apresentação </w:t>
      </w:r>
      <w:r w:rsidR="00286403" w:rsidRPr="00B66CA2">
        <w:rPr>
          <w:rFonts w:asciiTheme="minorHAnsi" w:hAnsiTheme="minorHAnsi" w:cstheme="minorHAnsi"/>
          <w:sz w:val="24"/>
          <w:szCs w:val="24"/>
        </w:rPr>
        <w:t>dos Estudos da Comissão do Ensino Fundamental sobre o RCG</w:t>
      </w:r>
      <w:r w:rsidR="00286403">
        <w:rPr>
          <w:rFonts w:asciiTheme="minorHAnsi" w:hAnsiTheme="minorHAnsi" w:cstheme="minorHAnsi"/>
          <w:sz w:val="24"/>
          <w:szCs w:val="24"/>
        </w:rPr>
        <w:t xml:space="preserve"> a relatora Lizandra fez a leitura do Parecer</w:t>
      </w:r>
      <w:r w:rsidR="009451AB">
        <w:rPr>
          <w:rFonts w:asciiTheme="minorHAnsi" w:hAnsiTheme="minorHAnsi" w:cstheme="minorHAnsi"/>
          <w:sz w:val="24"/>
          <w:szCs w:val="24"/>
        </w:rPr>
        <w:t xml:space="preserve"> a seguir descrito:</w:t>
      </w:r>
      <w:r w:rsidR="008644C7">
        <w:rPr>
          <w:rFonts w:asciiTheme="minorHAnsi" w:hAnsiTheme="minorHAnsi" w:cstheme="minorHAnsi"/>
          <w:sz w:val="24"/>
          <w:szCs w:val="24"/>
        </w:rPr>
        <w:t xml:space="preserve">  </w:t>
      </w:r>
      <w:r w:rsidR="008644C7" w:rsidRPr="008644C7">
        <w:rPr>
          <w:rFonts w:asciiTheme="minorHAnsi" w:hAnsiTheme="minorHAnsi" w:cstheme="minorHAnsi"/>
          <w:sz w:val="24"/>
          <w:szCs w:val="24"/>
        </w:rPr>
        <w:t>OBJETIVO DO ENSINO FUNDAMENTAL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ensino fundamental deve promover a formação e o desenvolvimento humano global dos alunos, para que sejam capazes de construir uma sociedade mais justa, ética, democrática, responsável, inclusiva, sustentável e solidária através de uma concepção de uma educação integral.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educação integral indica promoção do desenvolvimento de crianças e jovens em todas as suas dimensões: intelectual, física, emocional, social e cultural, assim precisamos expandir a capacidade dos alunos de lidar com seu corpo e bem-estar, suas emoções e relações, sua atuação profissional e cidadã e sua identidade e repertório cultural.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CONCEPÇÕES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Educação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Considerando as mudanças históricas, sociais, políticas e econômicas, muitas são as concepções de educação que vão se instituindo nas sociedades, implicando paradigmas educacionais que compõem o vasto território da educação, nas suas mais diversas dimensões.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Na perspectiva do mundo contemporâneo, o universo simbólico das crianças e adolescentes está também vinculado aos suportes variados (imagens, infográficos, fotografia, sons, musica, textos) veiculados </w:t>
      </w:r>
      <w:r w:rsidR="008644C7" w:rsidRPr="008644C7">
        <w:rPr>
          <w:rFonts w:asciiTheme="minorHAnsi" w:hAnsiTheme="minorHAnsi" w:cstheme="minorHAnsi"/>
          <w:sz w:val="24"/>
          <w:szCs w:val="24"/>
        </w:rPr>
        <w:lastRenderedPageBreak/>
        <w:t>através da internet, da TV, da comunicação visual de ambientes públicos, da publicidade, do celular, entre outros. Dessa forma, estabelecer relações com as diversas competências e habilidades implica abrir oportunidades para que os estudantes acessem esses e outros tipos de suportes e veículos com o objetivo de selecionar, organizar e analisar criticamente a informação presente em tais artefatos culturais.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Aprendizagem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Aprender é o resultado da interação entre estruturas mentais e o meio, o conhecimento é construído e reconstruído continuamente;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aprendizagem se intensifica por meio da participação, mediação e interatividade;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>A aprendizagem escolar resulta de uma complexa atividade mental, na qual o pensamento, a percepção, a emoção, a memória, a motricidade e os conhecimentos prévios estão onde os sujeitos possam sentir o prazer de aprender;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RCG associa-se à identidade da instituição escolar, à sua organização e funcionamento e ao papel que exercer a partir das aspirações e expectativas da sociedade e da cultura em que se insere.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Nessa concepção, o currículo é construído a partir do projeto pedagógico da escola e viabiliza a sua operacionalização, e orientando as atividades educativas, as formas de executa – </w:t>
      </w:r>
      <w:proofErr w:type="spellStart"/>
      <w:r w:rsidR="008644C7" w:rsidRPr="008644C7">
        <w:rPr>
          <w:rFonts w:asciiTheme="minorHAnsi" w:hAnsiTheme="minorHAnsi" w:cstheme="minorHAnsi"/>
          <w:sz w:val="24"/>
          <w:szCs w:val="24"/>
        </w:rPr>
        <w:t>lás</w:t>
      </w:r>
      <w:proofErr w:type="spellEnd"/>
      <w:r w:rsidR="008644C7" w:rsidRPr="008644C7">
        <w:rPr>
          <w:rFonts w:asciiTheme="minorHAnsi" w:hAnsiTheme="minorHAnsi" w:cstheme="minorHAnsi"/>
          <w:sz w:val="24"/>
          <w:szCs w:val="24"/>
        </w:rPr>
        <w:t>, definindo suas finalidades.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Tudo isso tem espaço no projeto pedagógico da escola, a atitude da escola para diversificar e flexibilizar o processo de aprendizagem, dando atenção às diferenças individuais dos estudantes; a identificação das necessidades educacionais, priorizando meios favoráveis à sua educação; a consideração dos documentos referenciais sobre currículo, abrindo possibilidades de propostas curriculares diversificadas e flexíveis; a possibilidade de incluir professores especializados, serviços de apoio e outros, não convencionais, para favorecer o processo educacional.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Educação e formação de sujeitos no contexto escolar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>É incontentável a incessante transformação do mundo, sob o signo da globalização e de outros modos de acesso e compartilhamento de informação, impactando diretamente nas relações estabelecidas entre os interesses e necessidades dos estudantes e nos recursos didáticos e metodológicos utilizados para aquisição dos sabores, conhecimento e valores que serão construídos nos espaços escolares.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A diversidade cultural e identitária e os significados da escola para quem a compõe traz uma grande complexidade dos processos de ensino e aprendizagem e nas interações que ali se estabelecem.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>A escola terá diferentes significados, funções e representações para estes sujeitos, local de sociabilização, de troca de experiências, de aprendizagem e formação de cidadania, entre outros.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Portanto, vale destacar a importância da utilização dos dispositivos legais que norteiam e servem como parâmetros balizadores para garantir os direitos dos sujeitos que experienciam vivências escolares, entre eles, o ECA, a LDB e a Constituição Federal, documentos estes sintonizados na promoção da oferta do Acesso e Permanência universal a um modelo de Educação Pública Laica, Gratuita e de Qualidade, pois trata-se de um direito humano fundamental, devendo ainda, ser compreendido, enquanto um dever compartilhado entre a família, a sociedade e o Estado, consagrando-se, portanto, como uma ferramenta para a promoção de igualdade e de cidadania.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Currículo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Caberá às escolas, à luz da BNCC, do Referencial Gaúcho e do documento Orientador dos sistemas e redes de ensino público e privado, construir o seu currículo, considerando as dificuldades locais e a trajetória pedagógica, referendado </w:t>
      </w:r>
      <w:r w:rsidR="008644C7" w:rsidRPr="008644C7">
        <w:rPr>
          <w:rFonts w:asciiTheme="minorHAnsi" w:hAnsiTheme="minorHAnsi" w:cstheme="minorHAnsi"/>
          <w:sz w:val="24"/>
          <w:szCs w:val="24"/>
        </w:rPr>
        <w:lastRenderedPageBreak/>
        <w:t>no seu projeto político pedagógico.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Interdisciplinaridade A interdisciplinaridade e contextualização devem assegurar a transversalidade do conhecimento de diferentes disciplinas e eixos temáticos, perpassando todo currículo e propiciando a interlocução entre os saberes e os diferentes campos do conhecimento (DCN, pág. 68, 2013);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interdisciplinaridade e contextualização são desafios que rompem com a lógica do conteúdo isolado;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desafio é justamente trabalhar o currículo de forma articulada, entendendo que as habilidades são elementos constitutivos para o desenvolvimento integral dos estudantes nos mais variados contextos;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Organizar o currículo na perspectiva interdisciplinar implica trabalhar de forma articulada, possibilitando diálogo entre os conhecimentos;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É um trabalho que precisa ser pensado a partir dos contextos escolares, em que os sujeitos envolvidos no processo possam explicar, compreender, intervir, mudar algo que desafie o pensamento isolado das disciplinas;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professor é compreendido como mediador e orientador com o objetivo de possibilitar aos estudantes a aprendizagem dos conhecimentos relacionados;</w:t>
      </w:r>
      <w:r w:rsidR="008644C7">
        <w:rPr>
          <w:rFonts w:asciiTheme="minorHAnsi" w:hAnsiTheme="minorHAnsi" w:cstheme="minorHAnsi"/>
          <w:sz w:val="24"/>
          <w:szCs w:val="24"/>
        </w:rPr>
        <w:t xml:space="preserve">  </w:t>
      </w:r>
      <w:r w:rsidR="008644C7" w:rsidRPr="008644C7">
        <w:rPr>
          <w:rFonts w:asciiTheme="minorHAnsi" w:hAnsiTheme="minorHAnsi" w:cstheme="minorHAnsi"/>
          <w:sz w:val="24"/>
          <w:szCs w:val="24"/>
        </w:rPr>
        <w:t>O professor desempenha papel fundamental na organização de atividades e na formulação de situações que propiciem aos estudantes oportunidades de compreensão das aprendizagens significativas;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 xml:space="preserve">A interdisciplinaridade pode ser entendida pela seguinte tríade: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Interlocução de saberes em detrimento dos conhecimentos fragmentados;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Aproximação na apropriação dos conhecimentos pelos professores e estudantes;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Intensidade das aproximações dos conhecimentos num mesmo projeto.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Educação integral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BNCC afirma o comprometimento com a educação integral dos sujeitos. Desta forma, o RCG ratifica que esta perspectiva se constitui como um dos princípios norteadores na construção deste momento educacional;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percepção dos sujeitos na sua integralidade humana, como sujeitos sociais, culturais, éticos e cognitivos, permite compreender e aceitar que todos os estudantes são iguais em capacidades, sendo as desigualdades, reflexo dos diferentes contextos. E é nessa perspectiva que este documento assume o propósito de garantir a todos os envolvidos na seara educativa o direito de aprender;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>Educação Integral não é o mesmo que Escola em Tempo Integral, ou seja, não está relacionada, diretamente com a jornada escolar. É entender o estudante em seu desenvolvimento global;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cabe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 aos educadores, assumir a intenção pedagógica de elaborar o currículo, considerando a Educação Integral como eixo central deste processo construído coletivamente.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Ciência e Tecnologia Aplicadas à Educação do Século XXI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As tecnologias digitais, sempre em mudança, trazem para o contexto escolar uma inquietação, pois, ao mesmo tempo em que exigem da escola uma nova abordagem, também proporcionam a oportunidade de abandonar um modelo obsoleto, refletindo sobre uma metodologia contemporânea, que promove a participação de metodologias ativas, nas quais o projeto pedagógico contemple a nova realidade escolar, com inúmeras alternativas de interações, conexões, experiências, ensino pela pesquisa, descobertas e desafios;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estudante não é mais um telespectador, consumidor, mas um agente de conhecimento e mudança;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O professor também não é o detentor do saber, mas o facilitador e orientador que mostra o caminho, que tem o papel de promover a reflexão, avaliação e escolhas, possibilitando ao estudante a autoaprendizagem, com o uso adequado de toda tecnologia </w:t>
      </w:r>
      <w:r w:rsidR="008644C7" w:rsidRPr="008644C7">
        <w:rPr>
          <w:rFonts w:asciiTheme="minorHAnsi" w:hAnsiTheme="minorHAnsi" w:cstheme="minorHAnsi"/>
          <w:sz w:val="24"/>
          <w:szCs w:val="24"/>
        </w:rPr>
        <w:lastRenderedPageBreak/>
        <w:t>disponível;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escola precisa ser um porto tecnológico de apoio voltado à pesquisa, à criação e à formação integral do estudante;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Espaços diferenciados, equipamentos tecnológicos, conectividade, capacitação para uso pedagógico das tecnologias digitais, gestão democrática, princípios éticos, motivação, cooperação e políticas públicas eficientes;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escola precisa formar cidadãos responsáveis, aptos a interagir e criar tecnologias voltadas à resolução de problemas pessoais e coletivos.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Avaliação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Compreende-se avaliação como algo inerente aos processos cotidianos e de aprendizagem, em que todos os sujeitos estão envolvidos. A avaliação não pode ser compreendida como algo à parte, isolado, já que tem subjacente uma concepção de educação e uma estratégia pedagógica;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avalia-se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8644C7" w:rsidRPr="008644C7">
        <w:rPr>
          <w:rFonts w:asciiTheme="minorHAnsi" w:hAnsiTheme="minorHAnsi" w:cstheme="minorHAnsi"/>
          <w:sz w:val="24"/>
          <w:szCs w:val="24"/>
        </w:rPr>
        <w:t xml:space="preserve">para direcionar o planejamento a fim de contemplar e garantir o desenvolvimento das competências pelos estudantes. Essa é a base da distinção entre medir e avaliar;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avaliação é uma das atividades que permeia o processo pedagógico, incluindo ações que implicam na própria formulação dos objetivos da ação educativa, na definição de seus conteúdos, métodos, instrumentos, entre outros;</w:t>
      </w:r>
      <w:r w:rsidR="008644C7" w:rsidRPr="008644C7">
        <w:rPr>
          <w:rFonts w:asciiTheme="minorHAnsi" w:hAnsiTheme="minorHAnsi" w:cstheme="minorHAnsi"/>
          <w:sz w:val="24"/>
          <w:szCs w:val="24"/>
        </w:rPr>
        <w:tab/>
        <w:t>Sendo parte de um processo maior, a avaliação deve ser usada tanto no sentido de uma apreciação ao longo do processo, com o objetivo de reorientá-lo;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foco da avaliação é fornecer informações acerca das ações de aprendizagem, ela diz respeito à construção da autonomia por parte do estudante, na medida em que lhe é solicitado um papel ativo em seu processo de aprender. Ou seja, a avaliação precisa ocorrer concomitantemente e vinculada ao processo de aprendizagem, numa perspectiva interacionista e dialógica, atribuindo ao estudante e a todos os segmentos da comunidade escolar a responsabilidade do processo de construção e avaliação do conhecimento.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Formação Continuada dos profissionais da educação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 xml:space="preserve">A formação continuada está inscrita em significados produzidos pelos educadores que partilham os discursos pedagógicos, sendo que esses organizam e regulam as práticas docentes. Nesse sentido, tais práticas se resultam, em boa parte, da articulação dos processos que levam o reconhecimento dos saberes e fazeres docentes, contribuindo para aprofundar sua lógica de funcionamento;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Nas formações continuadas, as discussões deveriam ocorrem em vários sentidos, de forma aberta, em que as contestações críticas e produtivas fossem consideradas nas relações de poder, compreendendo as facetas dos processos de escolarização. Dessa forma, a formação continuada torna-se uma prática cultural que deve ser de responsabilidade ética e política de quem a pratica;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A formação continuada de professores deve incentivar a apropriação dos saberes pelos professores, levando-os a uma prática crítica-reflexiva, engendrando a vida cotidiana da escola e os saberes derivados da experiência docente. Significa dizer que o professor precisa refletir sobre sua prática em suas múltiplas dimensões;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O processo reflexivo exige também a predisposição de questionamentos críticos e de intervenção formativa sobre a própria prática docente;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Para tanto, é preciso considerar a formação inicial e a formação continuada por meio de uma prática reflexiva do processo e do resultado das ações em sala de aula, reconhecendo as diferentes contribuições que possam tornar possível a trilha formativa.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8644C7" w:rsidRPr="008644C7">
        <w:rPr>
          <w:rFonts w:asciiTheme="minorHAnsi" w:hAnsiTheme="minorHAnsi" w:cstheme="minorHAnsi"/>
          <w:sz w:val="24"/>
          <w:szCs w:val="24"/>
        </w:rPr>
        <w:t>Comissão de ensino fundamental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286403">
        <w:rPr>
          <w:rFonts w:asciiTheme="minorHAnsi" w:hAnsiTheme="minorHAnsi" w:cstheme="minorHAnsi"/>
          <w:sz w:val="24"/>
          <w:szCs w:val="24"/>
        </w:rPr>
        <w:t xml:space="preserve"> que após discutido e elencado algumas correções de ordem ortográfica, foi aprovado, após houveram vários relatos dos </w:t>
      </w:r>
      <w:r w:rsidR="00286403">
        <w:rPr>
          <w:rFonts w:asciiTheme="minorHAnsi" w:hAnsiTheme="minorHAnsi" w:cstheme="minorHAnsi"/>
          <w:sz w:val="24"/>
          <w:szCs w:val="24"/>
        </w:rPr>
        <w:lastRenderedPageBreak/>
        <w:t>conselheiros presentes sobre o que consta na B</w:t>
      </w:r>
      <w:r w:rsidR="009451AB">
        <w:rPr>
          <w:rFonts w:asciiTheme="minorHAnsi" w:hAnsiTheme="minorHAnsi" w:cstheme="minorHAnsi"/>
          <w:sz w:val="24"/>
          <w:szCs w:val="24"/>
        </w:rPr>
        <w:t>NCC, que traz algumas lacunas tais como levantado pela conselheira Roberta sobre o ensino da língua Inglesa partir do sexto ano, declarando que pelo posto deveria haver anteriormente o ensino desta desde o primeiro ano, em cima desta premissa houveram várias manifestações que foram encerradas, para seguimento da pauta</w:t>
      </w:r>
      <w:r w:rsidR="00B66CA2">
        <w:rPr>
          <w:rFonts w:asciiTheme="minorHAnsi" w:hAnsiTheme="minorHAnsi" w:cstheme="minorHAnsi"/>
          <w:sz w:val="24"/>
          <w:szCs w:val="24"/>
        </w:rPr>
        <w:t xml:space="preserve">. Do item de Pauta </w:t>
      </w:r>
      <w:r w:rsidR="00B66CA2" w:rsidRPr="00B66CA2">
        <w:rPr>
          <w:rFonts w:asciiTheme="minorHAnsi" w:hAnsiTheme="minorHAnsi" w:cstheme="minorHAnsi"/>
          <w:sz w:val="24"/>
          <w:szCs w:val="24"/>
        </w:rPr>
        <w:t>Proposta de Referencial curricular para EJA em Charqueadas</w:t>
      </w:r>
      <w:r w:rsidR="00B66CA2">
        <w:rPr>
          <w:rFonts w:asciiTheme="minorHAnsi" w:hAnsiTheme="minorHAnsi" w:cstheme="minorHAnsi"/>
          <w:sz w:val="24"/>
          <w:szCs w:val="24"/>
        </w:rPr>
        <w:t xml:space="preserve">, </w:t>
      </w:r>
      <w:r w:rsidR="009451AB">
        <w:rPr>
          <w:rFonts w:asciiTheme="minorHAnsi" w:hAnsiTheme="minorHAnsi" w:cstheme="minorHAnsi"/>
          <w:sz w:val="24"/>
          <w:szCs w:val="24"/>
        </w:rPr>
        <w:t>foi apresentado pelo Conselheiro Fernando os estudos que as escolas que tem a modalidade da EJA estão realizando a partir da BNCC  e RCG, para construção de uma proposta de referencial para EJA de Charqueadas, após serão apresentadas a Comissão e posteriormente ao colegiado e sendo dado retorno as escolas para fechamento da proposta e posterior emissão de Parecer para entrar em funcionamento já no ano de dois mil a vinte</w:t>
      </w:r>
      <w:r w:rsidR="00867B76">
        <w:rPr>
          <w:rFonts w:asciiTheme="minorHAnsi" w:hAnsiTheme="minorHAnsi" w:cstheme="minorHAnsi"/>
          <w:sz w:val="24"/>
          <w:szCs w:val="24"/>
        </w:rPr>
        <w:t xml:space="preserve">.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14:paraId="52CAA902" w14:textId="77777777"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43C29D06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1C0ECD38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EE38F3E" w14:textId="77777777"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14:paraId="7AFB3CAC" w14:textId="77777777"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13539C21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9996B65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5DB9A727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364E7C7A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C0A3114" w14:textId="77777777"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2E09C786" w14:textId="77777777" w:rsidR="00061851" w:rsidRPr="00592E11" w:rsidRDefault="009F5D39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D50FB9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F7A4" w14:textId="77777777" w:rsidR="009E213D" w:rsidRDefault="009E213D" w:rsidP="00F967E7">
      <w:r>
        <w:separator/>
      </w:r>
    </w:p>
  </w:endnote>
  <w:endnote w:type="continuationSeparator" w:id="0">
    <w:p w14:paraId="3BE13205" w14:textId="77777777" w:rsidR="009E213D" w:rsidRDefault="009E213D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9E213D" w14:paraId="7D2D76D6" w14:textId="77777777" w:rsidTr="00E44D37">
      <w:tc>
        <w:tcPr>
          <w:tcW w:w="8700" w:type="dxa"/>
          <w:vAlign w:val="center"/>
        </w:tcPr>
        <w:p w14:paraId="115328F4" w14:textId="77777777" w:rsidR="009E213D" w:rsidRPr="004B50EC" w:rsidRDefault="009E213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3E56E345" w14:textId="77777777" w:rsidR="009E213D" w:rsidRPr="004B50EC" w:rsidRDefault="009E213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2659A49C" w14:textId="77777777" w:rsidR="009E213D" w:rsidRDefault="009E213D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580CC6A4" w14:textId="77777777" w:rsidR="009E213D" w:rsidRDefault="009E213D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5434FA35" w14:textId="77777777" w:rsidR="009E213D" w:rsidRPr="004B50EC" w:rsidRDefault="009E213D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1E0" w14:textId="77777777" w:rsidR="009E213D" w:rsidRDefault="009E213D" w:rsidP="00F967E7">
      <w:r>
        <w:separator/>
      </w:r>
    </w:p>
  </w:footnote>
  <w:footnote w:type="continuationSeparator" w:id="0">
    <w:p w14:paraId="1F9DB674" w14:textId="77777777" w:rsidR="009E213D" w:rsidRDefault="009E213D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CDB" w14:textId="77777777" w:rsidR="009E213D" w:rsidRDefault="009E213D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36F7E71B" wp14:editId="5F69D2D2">
          <wp:extent cx="495300" cy="666750"/>
          <wp:effectExtent l="0" t="0" r="0" b="0"/>
          <wp:docPr id="42" name="Imagem 4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5295A" w14:textId="77777777" w:rsidR="009E213D" w:rsidRPr="003963E9" w:rsidRDefault="009E213D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72903995" w14:textId="77777777" w:rsidR="009E213D" w:rsidRDefault="009E213D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1FE0BCE" w14:textId="77777777" w:rsidR="009E213D" w:rsidRPr="001D45F8" w:rsidRDefault="009E213D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2A17AF49" w14:textId="77777777" w:rsidR="009E213D" w:rsidRDefault="009E213D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403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44C7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51AB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E213D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15CB8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160B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C7EC0A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91F9-52E6-40CE-AAD6-9F2F4839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39</TotalTime>
  <Pages>5</Pages>
  <Words>2147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4</cp:revision>
  <cp:lastPrinted>2017-04-06T12:45:00Z</cp:lastPrinted>
  <dcterms:created xsi:type="dcterms:W3CDTF">2019-07-12T21:13:00Z</dcterms:created>
  <dcterms:modified xsi:type="dcterms:W3CDTF">2019-07-18T16:26:00Z</dcterms:modified>
</cp:coreProperties>
</file>